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022C0CDB"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0540AB">
        <w:rPr>
          <w:rFonts w:ascii="Times New Roman" w:eastAsia="Times New Roman" w:hAnsi="Times New Roman" w:cs="Times New Roman"/>
          <w:sz w:val="24"/>
          <w:szCs w:val="24"/>
        </w:rPr>
        <w:t>Scott Miles</w:t>
      </w:r>
      <w:r w:rsidR="00D82FD0">
        <w:rPr>
          <w:rFonts w:ascii="Times New Roman" w:eastAsia="Times New Roman" w:hAnsi="Times New Roman" w:cs="Times New Roman"/>
          <w:sz w:val="24"/>
          <w:szCs w:val="24"/>
        </w:rPr>
        <w:t xml:space="preserve"> </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6C862314" w:rsidR="003E3FA5" w:rsidRPr="003E3FA5" w:rsidRDefault="003E3FA5" w:rsidP="00A173E8">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05C9F156" w14:textId="6BAF2641" w:rsidR="00BB773C" w:rsidRPr="003E3FA5" w:rsidRDefault="00BB773C" w:rsidP="00BB773C">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FD136A">
        <w:rPr>
          <w:rFonts w:ascii="Times New Roman" w:eastAsia="Times New Roman" w:hAnsi="Times New Roman" w:cs="Times New Roman"/>
          <w:sz w:val="24"/>
          <w:szCs w:val="24"/>
        </w:rPr>
        <w:t>August 1</w:t>
      </w:r>
      <w:r w:rsidR="00B45B03">
        <w:rPr>
          <w:rFonts w:ascii="Times New Roman" w:eastAsia="Times New Roman" w:hAnsi="Times New Roman" w:cs="Times New Roman"/>
          <w:sz w:val="24"/>
          <w:szCs w:val="24"/>
        </w:rPr>
        <w:t>8</w:t>
      </w:r>
      <w:r w:rsidRPr="003E3FA5">
        <w:rPr>
          <w:rFonts w:ascii="Times New Roman" w:eastAsia="Times New Roman" w:hAnsi="Times New Roman" w:cs="Times New Roman"/>
          <w:sz w:val="24"/>
          <w:szCs w:val="24"/>
        </w:rPr>
        <w:t>, 2022</w:t>
      </w:r>
    </w:p>
    <w:p w14:paraId="2F3C1E1A" w14:textId="77777777" w:rsidR="00BB773C" w:rsidRPr="003E3FA5" w:rsidRDefault="00BB773C" w:rsidP="00BB773C">
      <w:pPr>
        <w:spacing w:after="0" w:line="240" w:lineRule="auto"/>
        <w:ind w:left="1440" w:hanging="1440"/>
        <w:jc w:val="both"/>
        <w:rPr>
          <w:rFonts w:ascii="Times New Roman" w:eastAsia="Times New Roman" w:hAnsi="Times New Roman" w:cs="Times New Roman"/>
          <w:sz w:val="24"/>
          <w:szCs w:val="24"/>
        </w:rPr>
      </w:pPr>
    </w:p>
    <w:p w14:paraId="305B8537" w14:textId="35538890" w:rsidR="00BB773C" w:rsidRPr="003E3FA5" w:rsidRDefault="00BB773C" w:rsidP="00BB773C">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bookmarkStart w:id="1" w:name="_Hlk102642903"/>
      <w:r w:rsidR="000540AB">
        <w:rPr>
          <w:rFonts w:ascii="Times New Roman" w:eastAsia="Times New Roman" w:hAnsi="Times New Roman" w:cs="Times New Roman"/>
          <w:bCs/>
          <w:iCs/>
          <w:sz w:val="24"/>
          <w:szCs w:val="24"/>
        </w:rPr>
        <w:t>52440</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 xml:space="preserve">Application of </w:t>
      </w:r>
      <w:r w:rsidR="000540AB">
        <w:rPr>
          <w:rFonts w:ascii="Times New Roman" w:eastAsia="Times New Roman" w:hAnsi="Times New Roman" w:cs="Times New Roman"/>
          <w:bCs/>
          <w:i/>
          <w:iCs/>
          <w:sz w:val="24"/>
          <w:szCs w:val="24"/>
        </w:rPr>
        <w:t>Crystal Springs Water Company</w:t>
      </w:r>
      <w:r>
        <w:rPr>
          <w:rFonts w:ascii="Times New Roman" w:eastAsia="Times New Roman" w:hAnsi="Times New Roman" w:cs="Times New Roman"/>
          <w:bCs/>
          <w:i/>
          <w:iCs/>
          <w:sz w:val="24"/>
          <w:szCs w:val="24"/>
        </w:rPr>
        <w:t xml:space="preserve"> to Amend its</w:t>
      </w:r>
      <w:r w:rsidR="00B45B03">
        <w:rPr>
          <w:rFonts w:ascii="Times New Roman" w:eastAsia="Times New Roman" w:hAnsi="Times New Roman" w:cs="Times New Roman"/>
          <w:bCs/>
          <w:i/>
          <w:iCs/>
          <w:sz w:val="24"/>
          <w:szCs w:val="24"/>
        </w:rPr>
        <w:t xml:space="preserve"> Water</w:t>
      </w:r>
      <w:r>
        <w:rPr>
          <w:rFonts w:ascii="Times New Roman" w:eastAsia="Times New Roman" w:hAnsi="Times New Roman" w:cs="Times New Roman"/>
          <w:bCs/>
          <w:i/>
          <w:iCs/>
          <w:sz w:val="24"/>
          <w:szCs w:val="24"/>
        </w:rPr>
        <w:t xml:space="preserve"> Certificate of Convenience and Necessity in </w:t>
      </w:r>
      <w:r w:rsidR="000540AB">
        <w:rPr>
          <w:rFonts w:ascii="Times New Roman" w:eastAsia="Times New Roman" w:hAnsi="Times New Roman" w:cs="Times New Roman"/>
          <w:bCs/>
          <w:i/>
          <w:iCs/>
          <w:sz w:val="24"/>
          <w:szCs w:val="24"/>
        </w:rPr>
        <w:t xml:space="preserve">Montgomery </w:t>
      </w:r>
      <w:r w:rsidRPr="00147CE5">
        <w:rPr>
          <w:rFonts w:ascii="Times New Roman" w:eastAsia="Times New Roman" w:hAnsi="Times New Roman" w:cs="Times New Roman"/>
          <w:bCs/>
          <w:i/>
          <w:iCs/>
          <w:sz w:val="24"/>
          <w:szCs w:val="24"/>
        </w:rPr>
        <w:t>Count</w:t>
      </w:r>
      <w:r>
        <w:rPr>
          <w:rFonts w:ascii="Times New Roman" w:eastAsia="Times New Roman" w:hAnsi="Times New Roman" w:cs="Times New Roman"/>
          <w:bCs/>
          <w:i/>
          <w:iCs/>
          <w:sz w:val="24"/>
          <w:szCs w:val="24"/>
        </w:rPr>
        <w:t>y</w:t>
      </w:r>
      <w:bookmarkEnd w:id="1"/>
    </w:p>
    <w:p w14:paraId="42126A8B" w14:textId="77777777" w:rsidR="00BB773C" w:rsidRPr="003E3FA5" w:rsidRDefault="00BB773C" w:rsidP="00BB773C">
      <w:pPr>
        <w:spacing w:after="0" w:line="240" w:lineRule="auto"/>
        <w:jc w:val="both"/>
        <w:rPr>
          <w:rFonts w:ascii="Times New Roman" w:eastAsia="Times New Roman" w:hAnsi="Times New Roman" w:cs="Times New Roman"/>
          <w:sz w:val="24"/>
          <w:szCs w:val="24"/>
        </w:rPr>
      </w:pPr>
    </w:p>
    <w:p w14:paraId="578E2EFC" w14:textId="6351932D" w:rsidR="00BB773C" w:rsidRPr="003E3FA5" w:rsidRDefault="00BB773C" w:rsidP="00E60837">
      <w:pPr>
        <w:spacing w:after="12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 xml:space="preserve">On </w:t>
      </w:r>
      <w:r w:rsidR="000540AB">
        <w:rPr>
          <w:rFonts w:ascii="Times New Roman" w:eastAsia="Times New Roman" w:hAnsi="Times New Roman" w:cs="Times New Roman"/>
          <w:sz w:val="24"/>
          <w:szCs w:val="24"/>
        </w:rPr>
        <w:t>August 17, 2021</w:t>
      </w:r>
      <w:r w:rsidRPr="00147CE5">
        <w:rPr>
          <w:rFonts w:ascii="Times New Roman" w:eastAsia="Times New Roman" w:hAnsi="Times New Roman" w:cs="Times New Roman"/>
          <w:sz w:val="24"/>
          <w:szCs w:val="24"/>
        </w:rPr>
        <w:t>,</w:t>
      </w:r>
      <w:bookmarkStart w:id="2" w:name="_Hlk102642922"/>
      <w:r>
        <w:rPr>
          <w:rFonts w:ascii="Times New Roman" w:eastAsia="Times New Roman" w:hAnsi="Times New Roman" w:cs="Times New Roman"/>
          <w:sz w:val="24"/>
          <w:szCs w:val="24"/>
        </w:rPr>
        <w:t xml:space="preserve"> </w:t>
      </w:r>
      <w:r w:rsidR="000540AB">
        <w:rPr>
          <w:rFonts w:ascii="Times New Roman" w:eastAsia="Times New Roman" w:hAnsi="Times New Roman" w:cs="Times New Roman"/>
          <w:sz w:val="24"/>
          <w:szCs w:val="24"/>
        </w:rPr>
        <w:t>Crystal Springs Water Company</w:t>
      </w:r>
      <w:r w:rsidR="00B45B03">
        <w:rPr>
          <w:rFonts w:ascii="Times New Roman" w:eastAsia="Times New Roman" w:hAnsi="Times New Roman" w:cs="Times New Roman"/>
          <w:sz w:val="24"/>
          <w:szCs w:val="24"/>
        </w:rPr>
        <w:t>, Inc.</w:t>
      </w:r>
      <w:r>
        <w:rPr>
          <w:rFonts w:ascii="Times New Roman" w:eastAsia="Times New Roman" w:hAnsi="Times New Roman" w:cs="Times New Roman"/>
          <w:sz w:val="24"/>
          <w:szCs w:val="24"/>
        </w:rPr>
        <w:t xml:space="preserve"> (</w:t>
      </w:r>
      <w:r w:rsidR="000D7572">
        <w:rPr>
          <w:rFonts w:ascii="Times New Roman" w:eastAsia="Times New Roman" w:hAnsi="Times New Roman" w:cs="Times New Roman"/>
          <w:sz w:val="24"/>
          <w:szCs w:val="24"/>
        </w:rPr>
        <w:t>Crystal Springs</w:t>
      </w:r>
      <w:r>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 xml:space="preserve"> </w:t>
      </w:r>
      <w:bookmarkEnd w:id="2"/>
      <w:r w:rsidRPr="00147CE5">
        <w:rPr>
          <w:rFonts w:ascii="Times New Roman" w:eastAsia="Times New Roman" w:hAnsi="Times New Roman" w:cs="Times New Roman"/>
          <w:sz w:val="24"/>
          <w:szCs w:val="24"/>
        </w:rPr>
        <w:t xml:space="preserve">filed </w:t>
      </w:r>
      <w:r w:rsidRPr="00943294">
        <w:rPr>
          <w:rFonts w:ascii="Times New Roman" w:eastAsia="Times New Roman" w:hAnsi="Times New Roman" w:cs="Times New Roman"/>
          <w:sz w:val="24"/>
          <w:szCs w:val="24"/>
        </w:rPr>
        <w:t xml:space="preserve">an application </w:t>
      </w:r>
      <w:r>
        <w:rPr>
          <w:rFonts w:ascii="Times New Roman" w:eastAsia="Times New Roman" w:hAnsi="Times New Roman" w:cs="Times New Roman"/>
          <w:sz w:val="24"/>
          <w:szCs w:val="24"/>
        </w:rPr>
        <w:t>to amend its</w:t>
      </w:r>
      <w:r w:rsidRPr="00943294">
        <w:rPr>
          <w:rFonts w:ascii="Times New Roman" w:eastAsia="Times New Roman" w:hAnsi="Times New Roman" w:cs="Times New Roman"/>
          <w:sz w:val="24"/>
          <w:szCs w:val="24"/>
        </w:rPr>
        <w:t xml:space="preserve"> water </w:t>
      </w:r>
      <w:r w:rsidR="00B45B03">
        <w:rPr>
          <w:rFonts w:ascii="Times New Roman" w:eastAsia="Times New Roman" w:hAnsi="Times New Roman" w:cs="Times New Roman"/>
          <w:sz w:val="24"/>
          <w:szCs w:val="24"/>
        </w:rPr>
        <w:t>C</w:t>
      </w:r>
      <w:r w:rsidRPr="00943294">
        <w:rPr>
          <w:rFonts w:ascii="Times New Roman" w:eastAsia="Times New Roman" w:hAnsi="Times New Roman" w:cs="Times New Roman"/>
          <w:sz w:val="24"/>
          <w:szCs w:val="24"/>
        </w:rPr>
        <w:t xml:space="preserve">ertificate of </w:t>
      </w:r>
      <w:r w:rsidR="00B45B03">
        <w:rPr>
          <w:rFonts w:ascii="Times New Roman" w:eastAsia="Times New Roman" w:hAnsi="Times New Roman" w:cs="Times New Roman"/>
          <w:sz w:val="24"/>
          <w:szCs w:val="24"/>
        </w:rPr>
        <w:t>C</w:t>
      </w:r>
      <w:r w:rsidRPr="00943294">
        <w:rPr>
          <w:rFonts w:ascii="Times New Roman" w:eastAsia="Times New Roman" w:hAnsi="Times New Roman" w:cs="Times New Roman"/>
          <w:sz w:val="24"/>
          <w:szCs w:val="24"/>
        </w:rPr>
        <w:t xml:space="preserve">onvenience and </w:t>
      </w:r>
      <w:r w:rsidR="00B45B03">
        <w:rPr>
          <w:rFonts w:ascii="Times New Roman" w:eastAsia="Times New Roman" w:hAnsi="Times New Roman" w:cs="Times New Roman"/>
          <w:sz w:val="24"/>
          <w:szCs w:val="24"/>
        </w:rPr>
        <w:t>N</w:t>
      </w:r>
      <w:r w:rsidRPr="00943294">
        <w:rPr>
          <w:rFonts w:ascii="Times New Roman" w:eastAsia="Times New Roman" w:hAnsi="Times New Roman" w:cs="Times New Roman"/>
          <w:sz w:val="24"/>
          <w:szCs w:val="24"/>
        </w:rPr>
        <w:t>ecessity (CCN)</w:t>
      </w:r>
      <w:bookmarkStart w:id="3" w:name="_Hlk102642942"/>
      <w:r>
        <w:rPr>
          <w:rFonts w:ascii="Times New Roman" w:eastAsia="Times New Roman" w:hAnsi="Times New Roman" w:cs="Times New Roman"/>
          <w:sz w:val="24"/>
          <w:szCs w:val="24"/>
        </w:rPr>
        <w:t xml:space="preserve"> No. </w:t>
      </w:r>
      <w:r w:rsidR="000540AB">
        <w:rPr>
          <w:rFonts w:ascii="Times New Roman" w:eastAsia="Times New Roman" w:hAnsi="Times New Roman" w:cs="Times New Roman"/>
          <w:sz w:val="24"/>
          <w:szCs w:val="24"/>
        </w:rPr>
        <w:t>11373</w:t>
      </w:r>
      <w:r>
        <w:rPr>
          <w:rFonts w:ascii="Times New Roman" w:eastAsia="Times New Roman" w:hAnsi="Times New Roman" w:cs="Times New Roman"/>
          <w:sz w:val="24"/>
          <w:szCs w:val="24"/>
        </w:rPr>
        <w:t xml:space="preserve"> </w:t>
      </w:r>
      <w:r w:rsidRPr="00943294">
        <w:rPr>
          <w:rFonts w:ascii="Times New Roman" w:eastAsia="Times New Roman" w:hAnsi="Times New Roman" w:cs="Times New Roman"/>
          <w:sz w:val="24"/>
          <w:szCs w:val="24"/>
        </w:rPr>
        <w:t xml:space="preserve">in </w:t>
      </w:r>
      <w:r w:rsidR="000540AB">
        <w:rPr>
          <w:rFonts w:ascii="Times New Roman" w:eastAsia="Times New Roman" w:hAnsi="Times New Roman" w:cs="Times New Roman"/>
          <w:sz w:val="24"/>
          <w:szCs w:val="24"/>
        </w:rPr>
        <w:t>Montgomery</w:t>
      </w:r>
      <w:r>
        <w:rPr>
          <w:rFonts w:ascii="Times New Roman" w:eastAsia="Times New Roman" w:hAnsi="Times New Roman" w:cs="Times New Roman"/>
          <w:sz w:val="24"/>
          <w:szCs w:val="24"/>
        </w:rPr>
        <w:t xml:space="preserve"> </w:t>
      </w:r>
      <w:r w:rsidRPr="00943294">
        <w:rPr>
          <w:rFonts w:ascii="Times New Roman" w:eastAsia="Times New Roman" w:hAnsi="Times New Roman" w:cs="Times New Roman"/>
          <w:sz w:val="24"/>
          <w:szCs w:val="24"/>
        </w:rPr>
        <w:t>County under Subchapter G of Texas Water Code Chapter 13.</w:t>
      </w:r>
      <w:r>
        <w:rPr>
          <w:rFonts w:ascii="Times New Roman" w:eastAsia="Times New Roman" w:hAnsi="Times New Roman" w:cs="Times New Roman"/>
          <w:sz w:val="24"/>
          <w:szCs w:val="24"/>
        </w:rPr>
        <w:t xml:space="preserve"> </w:t>
      </w:r>
    </w:p>
    <w:bookmarkEnd w:id="3"/>
    <w:p w14:paraId="6555F5D5" w14:textId="77777777" w:rsidR="00F011FC" w:rsidRPr="00973928" w:rsidRDefault="00F011FC" w:rsidP="00F011FC">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p>
    <w:p w14:paraId="2DC4EA2F" w14:textId="77777777" w:rsidR="00F011FC" w:rsidRPr="0076246A" w:rsidRDefault="00F011FC" w:rsidP="00F011FC">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658E5F0" w14:textId="4FE08A69" w:rsidR="00F011FC" w:rsidRPr="00633C49" w:rsidRDefault="00F011FC" w:rsidP="00F011FC">
      <w:pPr>
        <w:spacing w:after="120" w:line="360" w:lineRule="auto"/>
        <w:ind w:firstLine="720"/>
        <w:jc w:val="both"/>
        <w:rPr>
          <w:rFonts w:ascii="Times New Roman" w:eastAsia="Times New Roman" w:hAnsi="Times New Roman" w:cs="Times New Roman"/>
          <w:sz w:val="24"/>
          <w:szCs w:val="24"/>
        </w:rPr>
      </w:pPr>
      <w:r w:rsidRPr="00F7391A">
        <w:rPr>
          <w:rFonts w:ascii="Times New Roman" w:eastAsia="Times New Roman" w:hAnsi="Times New Roman" w:cs="Times New Roman"/>
          <w:sz w:val="24"/>
          <w:szCs w:val="24"/>
        </w:rPr>
        <w:t xml:space="preserve">My analysis is based on </w:t>
      </w:r>
      <w:r>
        <w:rPr>
          <w:rFonts w:ascii="Times New Roman" w:eastAsia="Times New Roman" w:hAnsi="Times New Roman" w:cs="Times New Roman"/>
          <w:sz w:val="24"/>
          <w:szCs w:val="24"/>
        </w:rPr>
        <w:t xml:space="preserve">Crystal Springs’ annual report </w:t>
      </w:r>
      <w:r w:rsidRPr="00F7391A">
        <w:rPr>
          <w:rFonts w:ascii="Times New Roman" w:eastAsia="Times New Roman" w:hAnsi="Times New Roman" w:cs="Times New Roman"/>
          <w:sz w:val="24"/>
          <w:szCs w:val="24"/>
        </w:rPr>
        <w:t xml:space="preserve">ending </w:t>
      </w:r>
      <w:r>
        <w:rPr>
          <w:rFonts w:ascii="Times New Roman" w:eastAsia="Times New Roman" w:hAnsi="Times New Roman" w:cs="Times New Roman"/>
          <w:sz w:val="24"/>
          <w:szCs w:val="24"/>
        </w:rPr>
        <w:t>March</w:t>
      </w:r>
      <w:r w:rsidRPr="00F7391A">
        <w:rPr>
          <w:rFonts w:ascii="Times New Roman" w:eastAsia="Times New Roman" w:hAnsi="Times New Roman" w:cs="Times New Roman"/>
          <w:sz w:val="24"/>
          <w:szCs w:val="24"/>
        </w:rPr>
        <w:t xml:space="preserve"> 31, 2021. </w:t>
      </w:r>
      <w:r>
        <w:rPr>
          <w:rFonts w:ascii="Times New Roman" w:eastAsia="Times New Roman" w:hAnsi="Times New Roman" w:cs="Times New Roman"/>
          <w:sz w:val="24"/>
          <w:szCs w:val="24"/>
        </w:rPr>
        <w:t>Crystal Springs has filed previous annual reports, including reports ending March 31, 2019 and 2020, demonstrating compliance with 16 TAC § 24.11(e)(4)(B)(iii)</w:t>
      </w:r>
      <w:r w:rsidRPr="00633C49">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1"/>
      </w:r>
      <w:r>
        <w:rPr>
          <w:rFonts w:ascii="Times New Roman" w:eastAsia="Times New Roman" w:hAnsi="Times New Roman" w:cs="Times New Roman"/>
          <w:sz w:val="24"/>
          <w:szCs w:val="24"/>
          <w:vertAlign w:val="superscript"/>
        </w:rPr>
        <w:t>,</w:t>
      </w:r>
      <w:r>
        <w:rPr>
          <w:rStyle w:val="FootnoteReference"/>
          <w:rFonts w:ascii="Times New Roman" w:eastAsia="Times New Roman" w:hAnsi="Times New Roman" w:cs="Times New Roman"/>
          <w:sz w:val="24"/>
          <w:szCs w:val="24"/>
        </w:rPr>
        <w:footnoteReference w:id="2"/>
      </w:r>
    </w:p>
    <w:p w14:paraId="4B7A125C" w14:textId="77777777" w:rsidR="00F011FC" w:rsidRPr="00446D9B" w:rsidRDefault="00F011FC" w:rsidP="00F011FC">
      <w:pPr>
        <w:widowControl w:val="0"/>
        <w:spacing w:after="120" w:line="360" w:lineRule="auto"/>
        <w:jc w:val="both"/>
        <w:rPr>
          <w:rFonts w:ascii="Times New Roman" w:eastAsia="Times New Roman" w:hAnsi="Times New Roman" w:cs="Times New Roman"/>
          <w:sz w:val="24"/>
          <w:szCs w:val="24"/>
          <w:highlight w:val="yellow"/>
        </w:rPr>
      </w:pPr>
      <w:r w:rsidRPr="00633C49">
        <w:rPr>
          <w:rFonts w:ascii="Times New Roman" w:eastAsia="Times New Roman" w:hAnsi="Times New Roman" w:cs="Times New Roman"/>
          <w:sz w:val="24"/>
          <w:szCs w:val="24"/>
        </w:rPr>
        <w:tab/>
      </w:r>
      <w:r>
        <w:rPr>
          <w:rFonts w:ascii="Times New Roman" w:eastAsia="Times New Roman" w:hAnsi="Times New Roman" w:cs="Times New Roman"/>
          <w:sz w:val="24"/>
          <w:szCs w:val="24"/>
        </w:rPr>
        <w:t>Crystal Springs</w:t>
      </w:r>
      <w:r w:rsidRPr="005D31B0">
        <w:rPr>
          <w:rFonts w:ascii="Times New Roman" w:eastAsia="Times New Roman" w:hAnsi="Times New Roman" w:cs="Times New Roman"/>
          <w:sz w:val="24"/>
          <w:szCs w:val="24"/>
        </w:rPr>
        <w:t xml:space="preserve"> provided financial statements which demonstrate debt-to-equity ratio of 0.40. The debt-to-equity ratio</w:t>
      </w:r>
      <w:r>
        <w:rPr>
          <w:rFonts w:ascii="Times New Roman" w:eastAsia="Times New Roman" w:hAnsi="Times New Roman" w:cs="Times New Roman"/>
          <w:sz w:val="24"/>
          <w:szCs w:val="24"/>
        </w:rPr>
        <w:t xml:space="preserve"> is long-term debt of $5,007,674 divided by equity of $12,594,326.</w:t>
      </w:r>
      <w:r w:rsidRPr="00633C49">
        <w:rPr>
          <w:rStyle w:val="FootnoteReference"/>
          <w:rFonts w:ascii="Times New Roman" w:eastAsia="Times New Roman" w:hAnsi="Times New Roman" w:cs="Times New Roman"/>
          <w:sz w:val="24"/>
          <w:szCs w:val="24"/>
        </w:rPr>
        <w:footnoteReference w:id="3"/>
      </w:r>
      <w:r>
        <w:rPr>
          <w:rFonts w:ascii="Times New Roman" w:eastAsia="Times New Roman" w:hAnsi="Times New Roman" w:cs="Times New Roman"/>
          <w:sz w:val="24"/>
          <w:szCs w:val="24"/>
        </w:rPr>
        <w:t xml:space="preserve"> Because the ratio is less than one,</w:t>
      </w:r>
      <w:r w:rsidRPr="00F7391A">
        <w:rPr>
          <w:rFonts w:ascii="Times New Roman" w:eastAsia="Times New Roman" w:hAnsi="Times New Roman" w:cs="Times New Roman"/>
          <w:sz w:val="24"/>
          <w:szCs w:val="24"/>
        </w:rPr>
        <w:t xml:space="preserve"> I recommend a finding that </w:t>
      </w:r>
      <w:r>
        <w:rPr>
          <w:rFonts w:ascii="Times New Roman" w:eastAsia="Times New Roman" w:hAnsi="Times New Roman" w:cs="Times New Roman"/>
          <w:sz w:val="24"/>
          <w:szCs w:val="24"/>
        </w:rPr>
        <w:t>Crystal Springs</w:t>
      </w:r>
      <w:r w:rsidRPr="00F7391A">
        <w:rPr>
          <w:rFonts w:ascii="Times New Roman" w:eastAsia="Times New Roman" w:hAnsi="Times New Roman" w:cs="Times New Roman"/>
          <w:sz w:val="24"/>
          <w:szCs w:val="24"/>
        </w:rPr>
        <w:t xml:space="preserve"> meets the leverage </w:t>
      </w:r>
      <w:r w:rsidRPr="00F7391A">
        <w:rPr>
          <w:rFonts w:ascii="Times New Roman" w:eastAsia="Times New Roman" w:hAnsi="Times New Roman" w:cs="Times New Roman"/>
          <w:sz w:val="24"/>
          <w:szCs w:val="24"/>
        </w:rPr>
        <w:lastRenderedPageBreak/>
        <w:t>test specified in 16 TAC § 24.11(e)(2)(</w:t>
      </w:r>
      <w:r>
        <w:rPr>
          <w:rFonts w:ascii="Times New Roman" w:eastAsia="Times New Roman" w:hAnsi="Times New Roman" w:cs="Times New Roman"/>
          <w:sz w:val="24"/>
          <w:szCs w:val="24"/>
        </w:rPr>
        <w:t>A</w:t>
      </w:r>
      <w:r w:rsidRPr="00F7391A">
        <w:rPr>
          <w:rFonts w:ascii="Times New Roman" w:eastAsia="Times New Roman" w:hAnsi="Times New Roman" w:cs="Times New Roman"/>
          <w:sz w:val="24"/>
          <w:szCs w:val="24"/>
        </w:rPr>
        <w:t>).</w:t>
      </w:r>
    </w:p>
    <w:p w14:paraId="251F3C19" w14:textId="77777777" w:rsidR="00F011FC" w:rsidRPr="0076246A" w:rsidRDefault="00F011FC" w:rsidP="00F011FC">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3A515B68" w14:textId="3DE3731C" w:rsidR="00F011FC" w:rsidRDefault="00F011FC" w:rsidP="00F011FC">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w:t>
      </w:r>
      <w:r w:rsidR="00206581">
        <w:rPr>
          <w:rFonts w:ascii="Times New Roman" w:eastAsia="Times New Roman" w:hAnsi="Times New Roman" w:cs="Times New Roman"/>
          <w:sz w:val="24"/>
          <w:szCs w:val="24"/>
        </w:rPr>
        <w:t>s</w:t>
      </w:r>
      <w:r w:rsidRPr="00204D19">
        <w:rPr>
          <w:rFonts w:ascii="Times New Roman" w:eastAsia="Times New Roman" w:hAnsi="Times New Roman" w:cs="Times New Roman"/>
          <w:sz w:val="24"/>
          <w:szCs w:val="24"/>
        </w:rPr>
        <w:t xml:space="preserve"> during the first five years of operations</w:t>
      </w:r>
      <w:r>
        <w:rPr>
          <w:rFonts w:ascii="Times New Roman" w:eastAsia="Times New Roman" w:hAnsi="Times New Roman" w:cs="Times New Roman"/>
          <w:sz w:val="24"/>
          <w:szCs w:val="24"/>
        </w:rPr>
        <w:t>, as required by</w:t>
      </w:r>
      <w:r w:rsidRPr="00E679AE">
        <w:rPr>
          <w:rFonts w:ascii="Times New Roman" w:eastAsia="Times New Roman" w:hAnsi="Times New Roman" w:cs="Times New Roman"/>
          <w:sz w:val="24"/>
          <w:szCs w:val="24"/>
        </w:rPr>
        <w:t xml:space="preserve"> 16 TAC § 24.11(e)(3</w:t>
      </w:r>
      <w:r>
        <w:rPr>
          <w:rFonts w:ascii="Times New Roman" w:eastAsia="Times New Roman" w:hAnsi="Times New Roman" w:cs="Times New Roman"/>
          <w:sz w:val="24"/>
          <w:szCs w:val="24"/>
        </w:rPr>
        <w:t>).</w:t>
      </w:r>
    </w:p>
    <w:p w14:paraId="5E2C73D4" w14:textId="3731E472" w:rsidR="00F011FC" w:rsidRDefault="00F011FC" w:rsidP="00F011FC">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Crystal Springs’ balance sheet shows $581,</w:t>
      </w:r>
      <w:r w:rsidR="00001C25">
        <w:rPr>
          <w:rFonts w:ascii="Times New Roman" w:eastAsia="Times New Roman" w:hAnsi="Times New Roman" w:cs="Times New Roman"/>
          <w:sz w:val="24"/>
          <w:szCs w:val="24"/>
        </w:rPr>
        <w:t>106</w:t>
      </w:r>
      <w:r>
        <w:rPr>
          <w:rFonts w:ascii="Times New Roman" w:eastAsia="Times New Roman" w:hAnsi="Times New Roman" w:cs="Times New Roman"/>
          <w:sz w:val="24"/>
          <w:szCs w:val="24"/>
        </w:rPr>
        <w:t xml:space="preserve"> in cash,</w:t>
      </w:r>
      <w:r>
        <w:rPr>
          <w:rStyle w:val="FootnoteReference"/>
          <w:rFonts w:ascii="Times New Roman" w:eastAsia="Times New Roman" w:hAnsi="Times New Roman" w:cs="Times New Roman"/>
          <w:sz w:val="24"/>
          <w:szCs w:val="24"/>
        </w:rPr>
        <w:footnoteReference w:id="4"/>
      </w:r>
      <w:r>
        <w:rPr>
          <w:rFonts w:ascii="Times New Roman" w:eastAsia="Times New Roman" w:hAnsi="Times New Roman" w:cs="Times New Roman"/>
          <w:sz w:val="24"/>
          <w:szCs w:val="24"/>
        </w:rPr>
        <w:t xml:space="preserve"> which is enough to cover the temporary losses of $181,</w:t>
      </w:r>
      <w:r w:rsidR="00001C25">
        <w:rPr>
          <w:rFonts w:ascii="Times New Roman" w:eastAsia="Times New Roman" w:hAnsi="Times New Roman" w:cs="Times New Roman"/>
          <w:sz w:val="24"/>
          <w:szCs w:val="24"/>
        </w:rPr>
        <w:t>531</w:t>
      </w:r>
      <w:r>
        <w:rPr>
          <w:rFonts w:ascii="Times New Roman" w:eastAsia="Times New Roman" w:hAnsi="Times New Roman" w:cs="Times New Roman"/>
          <w:sz w:val="24"/>
          <w:szCs w:val="24"/>
        </w:rPr>
        <w:t xml:space="preserve"> projected for the first two years of operations.</w:t>
      </w:r>
      <w:r>
        <w:rPr>
          <w:rStyle w:val="FootnoteReference"/>
          <w:rFonts w:ascii="Times New Roman" w:eastAsia="Times New Roman" w:hAnsi="Times New Roman" w:cs="Times New Roman"/>
          <w:sz w:val="24"/>
          <w:szCs w:val="24"/>
        </w:rPr>
        <w:footnoteReference w:id="5"/>
      </w:r>
      <w:r>
        <w:rPr>
          <w:rFonts w:ascii="Times New Roman" w:eastAsia="Times New Roman" w:hAnsi="Times New Roman" w:cs="Times New Roman"/>
          <w:sz w:val="24"/>
          <w:szCs w:val="24"/>
        </w:rPr>
        <w:t xml:space="preserve"> Therefore,</w:t>
      </w:r>
      <w:r w:rsidRPr="00533AB6">
        <w:rPr>
          <w:rFonts w:ascii="Times New Roman" w:eastAsia="Times New Roman" w:hAnsi="Times New Roman" w:cs="Times New Roman"/>
          <w:sz w:val="24"/>
          <w:szCs w:val="24"/>
        </w:rPr>
        <w:t xml:space="preserve"> I recommend</w:t>
      </w:r>
      <w:r w:rsidRPr="004037C0">
        <w:rPr>
          <w:rFonts w:ascii="Times New Roman" w:eastAsia="Times New Roman" w:hAnsi="Times New Roman" w:cs="Times New Roman"/>
          <w:sz w:val="24"/>
          <w:szCs w:val="24"/>
        </w:rPr>
        <w:t xml:space="preserve"> a finding that </w:t>
      </w:r>
      <w:r>
        <w:rPr>
          <w:rFonts w:ascii="Times New Roman" w:eastAsia="Times New Roman" w:hAnsi="Times New Roman" w:cs="Times New Roman"/>
          <w:sz w:val="24"/>
          <w:szCs w:val="24"/>
        </w:rPr>
        <w:t xml:space="preserve">Crystal Springs </w:t>
      </w:r>
      <w:r w:rsidRPr="004037C0">
        <w:rPr>
          <w:rFonts w:ascii="Times New Roman" w:eastAsia="Times New Roman" w:hAnsi="Times New Roman" w:cs="Times New Roman"/>
          <w:sz w:val="24"/>
          <w:szCs w:val="24"/>
        </w:rPr>
        <w:t>meets the operations test specified in 16 TAC §</w:t>
      </w:r>
      <w:r w:rsidR="00D863FD">
        <w:rPr>
          <w:rFonts w:ascii="Times New Roman" w:eastAsia="Times New Roman" w:hAnsi="Times New Roman" w:cs="Times New Roman"/>
          <w:sz w:val="24"/>
          <w:szCs w:val="24"/>
        </w:rPr>
        <w:t> </w:t>
      </w:r>
      <w:r w:rsidRPr="004037C0">
        <w:rPr>
          <w:rFonts w:ascii="Times New Roman" w:eastAsia="Times New Roman" w:hAnsi="Times New Roman" w:cs="Times New Roman"/>
          <w:sz w:val="24"/>
          <w:szCs w:val="24"/>
        </w:rPr>
        <w:t>24.11(e)(3).</w:t>
      </w:r>
    </w:p>
    <w:p w14:paraId="6A647E0E" w14:textId="77777777" w:rsidR="00F011FC" w:rsidRDefault="00F011FC" w:rsidP="00F011FC">
      <w:pPr>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Capital Improvement Plan</w:t>
      </w:r>
    </w:p>
    <w:p w14:paraId="2C44CA76" w14:textId="2B3C1B69" w:rsidR="00F011FC" w:rsidRDefault="00F011FC" w:rsidP="00F011FC">
      <w:pPr>
        <w:spacing w:after="120"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Pr>
          <w:rFonts w:ascii="Times New Roman" w:eastAsia="Times New Roman" w:hAnsi="Times New Roman" w:cs="Times New Roman"/>
          <w:sz w:val="24"/>
          <w:szCs w:val="24"/>
        </w:rPr>
        <w:t>A utility who is proposing a substantial addition to its current CCN area requiring capital improvements in excess of $100,000 must provide loan approval documents or firm financial commitments demonstrating adequate funds are available.</w:t>
      </w:r>
    </w:p>
    <w:p w14:paraId="6617CF81" w14:textId="1A1A05C4" w:rsidR="00F011FC" w:rsidRPr="00B0412E" w:rsidRDefault="00F011FC" w:rsidP="00F011FC">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eastAsia="Times New Roman" w:hAnsi="Times New Roman" w:cs="Times New Roman"/>
          <w:sz w:val="24"/>
          <w:szCs w:val="24"/>
        </w:rPr>
        <w:t>Crystal Springs projected $8,465,000 in capital improvements</w:t>
      </w:r>
      <w:r w:rsidR="00C925A1">
        <w:rPr>
          <w:rFonts w:ascii="Times New Roman" w:eastAsia="Times New Roman" w:hAnsi="Times New Roman" w:cs="Times New Roman"/>
          <w:sz w:val="24"/>
          <w:szCs w:val="24"/>
        </w:rPr>
        <w:t xml:space="preserve">, $3,402,500 </w:t>
      </w:r>
      <w:r w:rsidR="00C77B1A">
        <w:rPr>
          <w:rFonts w:ascii="Times New Roman" w:eastAsia="Times New Roman" w:hAnsi="Times New Roman" w:cs="Times New Roman"/>
          <w:sz w:val="24"/>
          <w:szCs w:val="24"/>
        </w:rPr>
        <w:t xml:space="preserve">of </w:t>
      </w:r>
      <w:r w:rsidR="00C925A1">
        <w:rPr>
          <w:rFonts w:ascii="Times New Roman" w:eastAsia="Times New Roman" w:hAnsi="Times New Roman" w:cs="Times New Roman"/>
          <w:sz w:val="24"/>
          <w:szCs w:val="24"/>
        </w:rPr>
        <w:t xml:space="preserve">which are projected capital improvements associated with additions to </w:t>
      </w:r>
      <w:r w:rsidR="00E66C3B">
        <w:rPr>
          <w:rFonts w:ascii="Times New Roman" w:eastAsia="Times New Roman" w:hAnsi="Times New Roman" w:cs="Times New Roman"/>
          <w:sz w:val="24"/>
          <w:szCs w:val="24"/>
        </w:rPr>
        <w:t>its</w:t>
      </w:r>
      <w:r w:rsidR="00C925A1">
        <w:rPr>
          <w:rFonts w:ascii="Times New Roman" w:eastAsia="Times New Roman" w:hAnsi="Times New Roman" w:cs="Times New Roman"/>
          <w:sz w:val="24"/>
          <w:szCs w:val="24"/>
        </w:rPr>
        <w:t xml:space="preserve"> water </w:t>
      </w:r>
      <w:r w:rsidR="006E339F">
        <w:rPr>
          <w:rFonts w:ascii="Times New Roman" w:eastAsia="Times New Roman" w:hAnsi="Times New Roman" w:cs="Times New Roman"/>
          <w:sz w:val="24"/>
          <w:szCs w:val="24"/>
        </w:rPr>
        <w:t>CCN</w:t>
      </w:r>
      <w:r w:rsidR="00DE2804">
        <w:rPr>
          <w:rFonts w:ascii="Times New Roman" w:eastAsia="Times New Roman" w:hAnsi="Times New Roman" w:cs="Times New Roman"/>
          <w:sz w:val="24"/>
          <w:szCs w:val="24"/>
        </w:rPr>
        <w:t>.</w:t>
      </w:r>
      <w:r w:rsidR="00DE2804">
        <w:rPr>
          <w:rStyle w:val="FootnoteReference"/>
          <w:rFonts w:ascii="Times New Roman" w:eastAsia="Times New Roman" w:hAnsi="Times New Roman" w:cs="Times New Roman"/>
          <w:sz w:val="24"/>
          <w:szCs w:val="24"/>
        </w:rPr>
        <w:footnoteReference w:id="6"/>
      </w:r>
      <w:r>
        <w:rPr>
          <w:rFonts w:ascii="Times New Roman" w:eastAsia="Times New Roman" w:hAnsi="Times New Roman" w:cs="Times New Roman"/>
          <w:sz w:val="24"/>
          <w:szCs w:val="24"/>
        </w:rPr>
        <w:t xml:space="preserve"> </w:t>
      </w:r>
      <w:r w:rsidR="00DE2804">
        <w:rPr>
          <w:rFonts w:ascii="Times New Roman" w:eastAsia="Times New Roman" w:hAnsi="Times New Roman" w:cs="Times New Roman"/>
          <w:sz w:val="24"/>
          <w:szCs w:val="24"/>
        </w:rPr>
        <w:t xml:space="preserve">Crystal Springs </w:t>
      </w:r>
      <w:r>
        <w:rPr>
          <w:rFonts w:ascii="Times New Roman" w:eastAsia="Times New Roman" w:hAnsi="Times New Roman" w:cs="Times New Roman"/>
          <w:sz w:val="24"/>
          <w:szCs w:val="24"/>
        </w:rPr>
        <w:t xml:space="preserve">provided confirmation from </w:t>
      </w:r>
      <w:r w:rsidR="00F21B2F">
        <w:rPr>
          <w:rFonts w:ascii="Times New Roman" w:eastAsia="Times New Roman" w:hAnsi="Times New Roman" w:cs="Times New Roman"/>
          <w:sz w:val="24"/>
          <w:szCs w:val="24"/>
        </w:rPr>
        <w:t>its</w:t>
      </w:r>
      <w:r>
        <w:rPr>
          <w:rFonts w:ascii="Times New Roman" w:eastAsia="Times New Roman" w:hAnsi="Times New Roman" w:cs="Times New Roman"/>
          <w:sz w:val="24"/>
          <w:szCs w:val="24"/>
        </w:rPr>
        <w:t xml:space="preserve"> bank that </w:t>
      </w:r>
      <w:r w:rsidR="00F21B2F">
        <w:rPr>
          <w:rFonts w:ascii="Times New Roman" w:eastAsia="Times New Roman" w:hAnsi="Times New Roman" w:cs="Times New Roman"/>
          <w:sz w:val="24"/>
          <w:szCs w:val="24"/>
        </w:rPr>
        <w:t>it</w:t>
      </w:r>
      <w:r>
        <w:rPr>
          <w:rFonts w:ascii="Times New Roman" w:eastAsia="Times New Roman" w:hAnsi="Times New Roman" w:cs="Times New Roman"/>
          <w:sz w:val="24"/>
          <w:szCs w:val="24"/>
        </w:rPr>
        <w:t xml:space="preserve"> ha</w:t>
      </w:r>
      <w:r w:rsidR="00F21B2F">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a revolving line of credit that exceeds the projected costs.</w:t>
      </w:r>
      <w:r>
        <w:rPr>
          <w:rStyle w:val="FootnoteReference"/>
          <w:rFonts w:ascii="Times New Roman" w:eastAsia="Times New Roman" w:hAnsi="Times New Roman" w:cs="Times New Roman"/>
          <w:sz w:val="24"/>
          <w:szCs w:val="24"/>
        </w:rPr>
        <w:footnoteReference w:id="7"/>
      </w:r>
      <w:r>
        <w:rPr>
          <w:rFonts w:ascii="Times New Roman" w:eastAsia="Times New Roman" w:hAnsi="Times New Roman" w:cs="Times New Roman"/>
          <w:sz w:val="24"/>
          <w:szCs w:val="24"/>
        </w:rPr>
        <w:t xml:space="preserve"> Therefore, I recommend a finding that Crystal Springs satisfies the requirements of 16 TAC § 24.11(e)(5).</w:t>
      </w:r>
    </w:p>
    <w:p w14:paraId="3A80825F" w14:textId="77777777" w:rsidR="00F011FC" w:rsidRPr="0076246A" w:rsidRDefault="00F011FC" w:rsidP="00F011FC">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6F164FAD" w14:textId="77777777" w:rsidR="00F011FC" w:rsidRPr="004037C0" w:rsidRDefault="00F011FC" w:rsidP="00F011FC">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Pr>
          <w:rFonts w:ascii="Times New Roman" w:eastAsia="Times New Roman" w:hAnsi="Times New Roman" w:cs="Times New Roman"/>
          <w:sz w:val="24"/>
          <w:szCs w:val="24"/>
        </w:rPr>
        <w:t>Crystal Springs</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7ABE52B6" w14:textId="52793E27" w:rsidR="00C74679" w:rsidRPr="00376E5F" w:rsidRDefault="00F011FC" w:rsidP="00F011FC">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I recommend a finding that </w:t>
      </w:r>
      <w:r>
        <w:rPr>
          <w:rFonts w:ascii="Times New Roman" w:hAnsi="Times New Roman" w:cs="Times New Roman"/>
          <w:sz w:val="24"/>
          <w:szCs w:val="24"/>
        </w:rPr>
        <w:t>Crystal Springs</w:t>
      </w:r>
      <w:r w:rsidRPr="004037C0">
        <w:rPr>
          <w:rFonts w:ascii="Times New Roman" w:hAnsi="Times New Roman" w:cs="Times New Roman"/>
          <w:sz w:val="24"/>
          <w:szCs w:val="24"/>
        </w:rPr>
        <w:t xml:space="preserve"> demonstrates the financial and managerial capability needed to provide continuous</w:t>
      </w:r>
      <w:r w:rsidRPr="00372923">
        <w:rPr>
          <w:rFonts w:ascii="Times New Roman" w:hAnsi="Times New Roman" w:cs="Times New Roman"/>
          <w:sz w:val="24"/>
          <w:szCs w:val="24"/>
        </w:rPr>
        <w:t xml:space="preserve"> and adequate service to the area subject to this </w:t>
      </w:r>
      <w:r w:rsidRPr="00372923">
        <w:rPr>
          <w:rFonts w:ascii="Times New Roman" w:hAnsi="Times New Roman" w:cs="Times New Roman"/>
          <w:sz w:val="24"/>
          <w:szCs w:val="24"/>
        </w:rPr>
        <w:lastRenderedPageBreak/>
        <w:t xml:space="preserve">application.  My conclusions are based on information provided by </w:t>
      </w:r>
      <w:r>
        <w:rPr>
          <w:rFonts w:ascii="Times New Roman" w:hAnsi="Times New Roman" w:cs="Times New Roman"/>
          <w:sz w:val="24"/>
          <w:szCs w:val="24"/>
        </w:rPr>
        <w:t>Crystal Springs</w:t>
      </w:r>
      <w:r w:rsidRPr="00372923">
        <w:rPr>
          <w:rFonts w:ascii="Times New Roman" w:hAnsi="Times New Roman" w:cs="Times New Roman"/>
          <w:sz w:val="24"/>
          <w:szCs w:val="24"/>
        </w:rPr>
        <w:t xml:space="preserve"> before the date of this memorandum and may not reflect any changes in </w:t>
      </w:r>
      <w:r>
        <w:rPr>
          <w:rFonts w:ascii="Times New Roman" w:hAnsi="Times New Roman" w:cs="Times New Roman"/>
          <w:sz w:val="24"/>
          <w:szCs w:val="24"/>
        </w:rPr>
        <w:t>Crystal Springs</w:t>
      </w:r>
      <w:r w:rsidRPr="00372923">
        <w:rPr>
          <w:rFonts w:ascii="Times New Roman" w:hAnsi="Times New Roman" w:cs="Times New Roman"/>
          <w:sz w:val="24"/>
          <w:szCs w:val="24"/>
        </w:rPr>
        <w:t xml:space="preserve">’ status after this review. </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E6171" w14:textId="77777777" w:rsidR="00142845" w:rsidRDefault="00142845" w:rsidP="003E3FA5">
      <w:pPr>
        <w:spacing w:after="0" w:line="240" w:lineRule="auto"/>
      </w:pPr>
      <w:r>
        <w:separator/>
      </w:r>
    </w:p>
  </w:endnote>
  <w:endnote w:type="continuationSeparator" w:id="0">
    <w:p w14:paraId="6DBF1D55" w14:textId="77777777" w:rsidR="00142845" w:rsidRDefault="00142845"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F205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F20597">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2B687" w14:textId="77777777" w:rsidR="00142845" w:rsidRDefault="00142845" w:rsidP="003E3FA5">
      <w:pPr>
        <w:spacing w:after="0" w:line="240" w:lineRule="auto"/>
      </w:pPr>
      <w:r>
        <w:separator/>
      </w:r>
    </w:p>
  </w:footnote>
  <w:footnote w:type="continuationSeparator" w:id="0">
    <w:p w14:paraId="37A7DDDB" w14:textId="77777777" w:rsidR="00142845" w:rsidRDefault="00142845" w:rsidP="003E3FA5">
      <w:pPr>
        <w:spacing w:after="0" w:line="240" w:lineRule="auto"/>
      </w:pPr>
      <w:r>
        <w:continuationSeparator/>
      </w:r>
    </w:p>
  </w:footnote>
  <w:footnote w:id="1">
    <w:p w14:paraId="5C585C98" w14:textId="3B8C49CC" w:rsidR="00F011FC" w:rsidRPr="00545B32" w:rsidRDefault="00F011FC" w:rsidP="00F21B2F">
      <w:pPr>
        <w:pStyle w:val="FootnoteText"/>
        <w:spacing w:after="120"/>
        <w:ind w:firstLine="720"/>
        <w:jc w:val="both"/>
      </w:pPr>
      <w:r>
        <w:rPr>
          <w:rStyle w:val="FootnoteReference"/>
        </w:rPr>
        <w:footnoteRef/>
      </w:r>
      <w:r>
        <w:t xml:space="preserve">  </w:t>
      </w:r>
      <w:r>
        <w:rPr>
          <w:i/>
          <w:iCs/>
        </w:rPr>
        <w:t>2018 Annual Reports of Water and Wastewater Utilities</w:t>
      </w:r>
      <w:r>
        <w:t xml:space="preserve">, </w:t>
      </w:r>
      <w:r w:rsidR="00B45B03">
        <w:t xml:space="preserve">Docket No. 48918, </w:t>
      </w:r>
      <w:r w:rsidR="00B45B03" w:rsidRPr="00B45B03">
        <w:t>Crystal Springs Water Company's Class B 2019 Annual Report</w:t>
      </w:r>
      <w:r>
        <w:t xml:space="preserve"> (May 11, 2020).</w:t>
      </w:r>
    </w:p>
  </w:footnote>
  <w:footnote w:id="2">
    <w:p w14:paraId="44E52B67" w14:textId="3678E53A" w:rsidR="00F011FC" w:rsidRDefault="00F011FC" w:rsidP="00C925A1">
      <w:pPr>
        <w:pStyle w:val="FootnoteText"/>
        <w:spacing w:after="120"/>
        <w:ind w:firstLine="720"/>
        <w:jc w:val="both"/>
      </w:pPr>
      <w:r>
        <w:rPr>
          <w:rStyle w:val="FootnoteReference"/>
        </w:rPr>
        <w:footnoteRef/>
      </w:r>
      <w:r>
        <w:t xml:space="preserve">  </w:t>
      </w:r>
      <w:r>
        <w:rPr>
          <w:i/>
          <w:iCs/>
        </w:rPr>
        <w:t>Year-End 2020 Water and Sewer Utility Annual Reports in Accordance with 16 TAC § 24.129</w:t>
      </w:r>
      <w:r>
        <w:t xml:space="preserve">, Docket No. 51720, </w:t>
      </w:r>
      <w:r w:rsidR="002531E6" w:rsidRPr="002531E6">
        <w:t>Crystal Springs Water Co., Inc's Class B Annual Report</w:t>
      </w:r>
      <w:r>
        <w:t xml:space="preserve"> (Apr. 23, 2021).</w:t>
      </w:r>
    </w:p>
  </w:footnote>
  <w:footnote w:id="3">
    <w:p w14:paraId="26BEF5BF" w14:textId="56FEA4FB" w:rsidR="00F011FC" w:rsidRPr="00EF7E43" w:rsidRDefault="00F011FC" w:rsidP="00DE2804">
      <w:pPr>
        <w:pStyle w:val="FootnoteText"/>
        <w:spacing w:after="120"/>
        <w:ind w:firstLine="720"/>
        <w:jc w:val="both"/>
      </w:pPr>
      <w:r>
        <w:rPr>
          <w:rStyle w:val="FootnoteReference"/>
        </w:rPr>
        <w:footnoteRef/>
      </w:r>
      <w:r>
        <w:t xml:space="preserve">  </w:t>
      </w:r>
      <w:r>
        <w:rPr>
          <w:i/>
          <w:iCs/>
        </w:rPr>
        <w:t>Year-End 2021 Water and Sewer Utility Annual Reports in Accordance with 16 TAC § 24.129</w:t>
      </w:r>
      <w:r>
        <w:t xml:space="preserve">, Docket No. 52954, </w:t>
      </w:r>
      <w:r w:rsidR="00206581" w:rsidRPr="00206581">
        <w:t>2021 Annual Report</w:t>
      </w:r>
      <w:r>
        <w:t xml:space="preserve"> at bates 3 (Jun. 15, 2022).</w:t>
      </w:r>
    </w:p>
  </w:footnote>
  <w:footnote w:id="4">
    <w:p w14:paraId="06E66660" w14:textId="77777777" w:rsidR="00F011FC" w:rsidRPr="00165F8E" w:rsidRDefault="00F011FC" w:rsidP="00DE2804">
      <w:pPr>
        <w:pStyle w:val="FootnoteText"/>
        <w:spacing w:after="120"/>
        <w:ind w:firstLine="720"/>
        <w:jc w:val="both"/>
      </w:pPr>
      <w:r>
        <w:rPr>
          <w:rStyle w:val="FootnoteReference"/>
        </w:rPr>
        <w:footnoteRef/>
      </w:r>
      <w:r>
        <w:t xml:space="preserve">  </w:t>
      </w:r>
      <w:r>
        <w:rPr>
          <w:i/>
          <w:iCs/>
        </w:rPr>
        <w:t>Id.</w:t>
      </w:r>
    </w:p>
  </w:footnote>
  <w:footnote w:id="5">
    <w:p w14:paraId="4FF21703" w14:textId="243D8946" w:rsidR="00F011FC" w:rsidRDefault="00F011FC">
      <w:pPr>
        <w:pStyle w:val="FootnoteText"/>
        <w:spacing w:after="120"/>
        <w:ind w:firstLine="720"/>
        <w:jc w:val="both"/>
      </w:pPr>
      <w:r>
        <w:rPr>
          <w:rStyle w:val="FootnoteReference"/>
        </w:rPr>
        <w:footnoteRef/>
      </w:r>
      <w:r>
        <w:t xml:space="preserve">  Application at 1</w:t>
      </w:r>
      <w:r w:rsidR="00001C25">
        <w:t>47</w:t>
      </w:r>
      <w:r>
        <w:t xml:space="preserve"> (Aug. 17, 2021).</w:t>
      </w:r>
    </w:p>
  </w:footnote>
  <w:footnote w:id="6">
    <w:p w14:paraId="343CBD9C" w14:textId="77777777" w:rsidR="00DE2804" w:rsidRDefault="00DE2804" w:rsidP="00DE2804">
      <w:pPr>
        <w:pStyle w:val="FootnoteText"/>
        <w:spacing w:after="120"/>
        <w:ind w:firstLine="720"/>
      </w:pPr>
      <w:r>
        <w:rPr>
          <w:rStyle w:val="FootnoteReference"/>
        </w:rPr>
        <w:footnoteRef/>
      </w:r>
      <w:r>
        <w:t xml:space="preserve">  </w:t>
      </w:r>
      <w:r>
        <w:rPr>
          <w:i/>
          <w:iCs/>
        </w:rPr>
        <w:t>Id</w:t>
      </w:r>
      <w:r>
        <w:t xml:space="preserve">.  </w:t>
      </w:r>
    </w:p>
  </w:footnote>
  <w:footnote w:id="7">
    <w:p w14:paraId="1569B964" w14:textId="01451F04" w:rsidR="00F011FC" w:rsidRPr="002B4ECD" w:rsidRDefault="00F011FC" w:rsidP="00C77B1A">
      <w:pPr>
        <w:pStyle w:val="FootnoteText"/>
        <w:spacing w:after="120"/>
        <w:ind w:firstLine="720"/>
        <w:jc w:val="both"/>
      </w:pPr>
      <w:r>
        <w:rPr>
          <w:rStyle w:val="FootnoteReference"/>
        </w:rPr>
        <w:footnoteRef/>
      </w:r>
      <w:r>
        <w:t xml:space="preserve">  </w:t>
      </w:r>
      <w:r w:rsidRPr="00C77B1A">
        <w:t>Response to Third Request for Information</w:t>
      </w:r>
      <w:r>
        <w:t xml:space="preserve"> at 1 (Apr. 27,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31AA1E0D" w:rsidR="00195A79" w:rsidRPr="002E015F" w:rsidRDefault="00363697" w:rsidP="0099083B">
    <w:pPr>
      <w:pStyle w:val="Header"/>
      <w:spacing w:after="240"/>
      <w:jc w:val="right"/>
      <w:rPr>
        <w:b/>
      </w:rPr>
    </w:pPr>
    <w:r w:rsidRPr="002E015F">
      <w:rPr>
        <w:b/>
      </w:rPr>
      <w:t xml:space="preserve">Docket No. </w:t>
    </w:r>
    <w:r w:rsidR="00435C2A">
      <w:rPr>
        <w:b/>
      </w:rPr>
      <w:t>52440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01C25"/>
    <w:rsid w:val="00010263"/>
    <w:rsid w:val="00040F53"/>
    <w:rsid w:val="000540AB"/>
    <w:rsid w:val="000658D7"/>
    <w:rsid w:val="00084F87"/>
    <w:rsid w:val="0009457B"/>
    <w:rsid w:val="000D7572"/>
    <w:rsid w:val="000F6F5D"/>
    <w:rsid w:val="001102DB"/>
    <w:rsid w:val="0013261C"/>
    <w:rsid w:val="00133D92"/>
    <w:rsid w:val="00142845"/>
    <w:rsid w:val="00147CE5"/>
    <w:rsid w:val="00165F8E"/>
    <w:rsid w:val="00177732"/>
    <w:rsid w:val="00204D19"/>
    <w:rsid w:val="00206581"/>
    <w:rsid w:val="002149AE"/>
    <w:rsid w:val="002531E6"/>
    <w:rsid w:val="00256BA8"/>
    <w:rsid w:val="00257AB8"/>
    <w:rsid w:val="00284379"/>
    <w:rsid w:val="00292E66"/>
    <w:rsid w:val="002B4ECD"/>
    <w:rsid w:val="002B55D4"/>
    <w:rsid w:val="00363697"/>
    <w:rsid w:val="00372923"/>
    <w:rsid w:val="00376E5F"/>
    <w:rsid w:val="003829B2"/>
    <w:rsid w:val="003C1F2C"/>
    <w:rsid w:val="003E3FA5"/>
    <w:rsid w:val="004037C0"/>
    <w:rsid w:val="00435C2A"/>
    <w:rsid w:val="004412BD"/>
    <w:rsid w:val="00446D9B"/>
    <w:rsid w:val="00464080"/>
    <w:rsid w:val="004733AF"/>
    <w:rsid w:val="00484DAD"/>
    <w:rsid w:val="004D28F8"/>
    <w:rsid w:val="004D4845"/>
    <w:rsid w:val="00512787"/>
    <w:rsid w:val="0052012A"/>
    <w:rsid w:val="00533AB6"/>
    <w:rsid w:val="00550E0D"/>
    <w:rsid w:val="00586C93"/>
    <w:rsid w:val="005A5E32"/>
    <w:rsid w:val="005C50C8"/>
    <w:rsid w:val="005D31B0"/>
    <w:rsid w:val="005E707D"/>
    <w:rsid w:val="005F33A2"/>
    <w:rsid w:val="0063274E"/>
    <w:rsid w:val="00633C49"/>
    <w:rsid w:val="00635BC4"/>
    <w:rsid w:val="00636D72"/>
    <w:rsid w:val="0064168C"/>
    <w:rsid w:val="00642722"/>
    <w:rsid w:val="00643A03"/>
    <w:rsid w:val="00660C9F"/>
    <w:rsid w:val="006B1F76"/>
    <w:rsid w:val="006B6D0E"/>
    <w:rsid w:val="006C6834"/>
    <w:rsid w:val="006D0637"/>
    <w:rsid w:val="006E339F"/>
    <w:rsid w:val="006F5466"/>
    <w:rsid w:val="0070258A"/>
    <w:rsid w:val="0076246A"/>
    <w:rsid w:val="007700A2"/>
    <w:rsid w:val="00792257"/>
    <w:rsid w:val="007A3C18"/>
    <w:rsid w:val="007D0A6F"/>
    <w:rsid w:val="007E628F"/>
    <w:rsid w:val="00852F19"/>
    <w:rsid w:val="00891293"/>
    <w:rsid w:val="00892AD1"/>
    <w:rsid w:val="008D2981"/>
    <w:rsid w:val="00902CAA"/>
    <w:rsid w:val="009262AA"/>
    <w:rsid w:val="00961A50"/>
    <w:rsid w:val="00973928"/>
    <w:rsid w:val="009D6172"/>
    <w:rsid w:val="00A1207B"/>
    <w:rsid w:val="00A173E8"/>
    <w:rsid w:val="00A31229"/>
    <w:rsid w:val="00A42084"/>
    <w:rsid w:val="00A8454C"/>
    <w:rsid w:val="00A85843"/>
    <w:rsid w:val="00A875F1"/>
    <w:rsid w:val="00A968B9"/>
    <w:rsid w:val="00AC0F73"/>
    <w:rsid w:val="00AC1B94"/>
    <w:rsid w:val="00AD6F3F"/>
    <w:rsid w:val="00AE4987"/>
    <w:rsid w:val="00B0412E"/>
    <w:rsid w:val="00B45B03"/>
    <w:rsid w:val="00B47439"/>
    <w:rsid w:val="00B52332"/>
    <w:rsid w:val="00BA5465"/>
    <w:rsid w:val="00BB773C"/>
    <w:rsid w:val="00BF176F"/>
    <w:rsid w:val="00C011C1"/>
    <w:rsid w:val="00C0242A"/>
    <w:rsid w:val="00C74679"/>
    <w:rsid w:val="00C77B1A"/>
    <w:rsid w:val="00C925A1"/>
    <w:rsid w:val="00CE7231"/>
    <w:rsid w:val="00D52DC0"/>
    <w:rsid w:val="00D5677C"/>
    <w:rsid w:val="00D73FFD"/>
    <w:rsid w:val="00D74E46"/>
    <w:rsid w:val="00D82FD0"/>
    <w:rsid w:val="00D863FD"/>
    <w:rsid w:val="00D9105A"/>
    <w:rsid w:val="00DE2804"/>
    <w:rsid w:val="00E054DD"/>
    <w:rsid w:val="00E60837"/>
    <w:rsid w:val="00E66C3B"/>
    <w:rsid w:val="00EB72F1"/>
    <w:rsid w:val="00EE489A"/>
    <w:rsid w:val="00EF2CA2"/>
    <w:rsid w:val="00EF7376"/>
    <w:rsid w:val="00EF7E43"/>
    <w:rsid w:val="00F011FC"/>
    <w:rsid w:val="00F20597"/>
    <w:rsid w:val="00F21B2F"/>
    <w:rsid w:val="00F21E89"/>
    <w:rsid w:val="00F34CBF"/>
    <w:rsid w:val="00F554E5"/>
    <w:rsid w:val="00F65A84"/>
    <w:rsid w:val="00F7391A"/>
    <w:rsid w:val="00F81C5D"/>
    <w:rsid w:val="00FC2566"/>
    <w:rsid w:val="00FC7CAB"/>
    <w:rsid w:val="00FD136A"/>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CommentReference">
    <w:name w:val="annotation reference"/>
    <w:basedOn w:val="DefaultParagraphFont"/>
    <w:uiPriority w:val="99"/>
    <w:semiHidden/>
    <w:unhideWhenUsed/>
    <w:rsid w:val="00550E0D"/>
    <w:rPr>
      <w:sz w:val="16"/>
      <w:szCs w:val="16"/>
    </w:rPr>
  </w:style>
  <w:style w:type="paragraph" w:styleId="CommentText">
    <w:name w:val="annotation text"/>
    <w:basedOn w:val="Normal"/>
    <w:link w:val="CommentTextChar"/>
    <w:uiPriority w:val="99"/>
    <w:semiHidden/>
    <w:unhideWhenUsed/>
    <w:rsid w:val="00550E0D"/>
    <w:pPr>
      <w:spacing w:line="240" w:lineRule="auto"/>
    </w:pPr>
    <w:rPr>
      <w:sz w:val="20"/>
      <w:szCs w:val="20"/>
    </w:rPr>
  </w:style>
  <w:style w:type="character" w:customStyle="1" w:styleId="CommentTextChar">
    <w:name w:val="Comment Text Char"/>
    <w:basedOn w:val="DefaultParagraphFont"/>
    <w:link w:val="CommentText"/>
    <w:uiPriority w:val="99"/>
    <w:semiHidden/>
    <w:rsid w:val="00550E0D"/>
    <w:rPr>
      <w:sz w:val="20"/>
      <w:szCs w:val="20"/>
    </w:rPr>
  </w:style>
  <w:style w:type="paragraph" w:styleId="CommentSubject">
    <w:name w:val="annotation subject"/>
    <w:basedOn w:val="CommentText"/>
    <w:next w:val="CommentText"/>
    <w:link w:val="CommentSubjectChar"/>
    <w:uiPriority w:val="99"/>
    <w:semiHidden/>
    <w:unhideWhenUsed/>
    <w:rsid w:val="00550E0D"/>
    <w:rPr>
      <w:b/>
      <w:bCs/>
    </w:rPr>
  </w:style>
  <w:style w:type="character" w:customStyle="1" w:styleId="CommentSubjectChar">
    <w:name w:val="Comment Subject Char"/>
    <w:basedOn w:val="CommentTextChar"/>
    <w:link w:val="CommentSubject"/>
    <w:uiPriority w:val="99"/>
    <w:semiHidden/>
    <w:rsid w:val="00550E0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704E3-0EF0-480B-85CD-E28932E6D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465</Words>
  <Characters>2654</Characters>
  <Application>Microsoft Office Word</Application>
  <DocSecurity>0</DocSecurity>
  <Lines>22</Lines>
  <Paragraphs>6</Paragraphs>
  <ScaleCrop>false</ScaleCrop>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2022-08-18T16:34:00Z</dcterms:created>
  <dcterms:modified xsi:type="dcterms:W3CDTF">2022-08-18T16:34:00Z</dcterms:modified>
</cp:coreProperties>
</file>